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51480,72" o:spt="12" path="m 0,36 l 0,36,51480,36e">
            <v:stroke joinstyle="miter"/>
          </v:shapetype>
          <v:shape id="WS_polygon57" type="polygon57" style="position:absolute;left:0;text-align:left;margin-left:61.2pt;margin-top:244.2pt;width:514.8pt;height:0.720001pt;z-index: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3696,60" o:spt="12" path="m 0,30 l 0,30,3696,30e">
            <v:stroke joinstyle="miter"/>
          </v:shapetype>
          <v:shape id="WS_polygon77" type="polygon77" style="position:absolute;left:0;text-align:left;margin-left:61.2pt;margin-top:293.88pt;width:36.96pt;height:0.600006pt;z-index:7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89" coordsize="3696,60" o:spt="12" path="m 0,30 l 0,30,3696,30e">
            <v:stroke joinstyle="miter"/>
          </v:shapetype>
          <v:shape id="WS_polygon89" type="polygon89" style="position:absolute;left:0;text-align:left;margin-left:61.2pt;margin-top:305.64pt;width:36.96pt;height:0.600006pt;z-index:8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4" coordsize="5688,60" o:spt="12" path="m 0,30 l 0,30,5688,30e">
            <v:stroke joinstyle="miter"/>
          </v:shapetype>
          <v:shape id="WS_polygon104" type="polygon104" style="position:absolute;left:0;text-align:left;margin-left:61.2pt;margin-top:329.16pt;width:56.88pt;height:0.600006pt;z-index:104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DLC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60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1113815"/>
          <w:noProof w:val="true"/>
        </w:rPr>
        <w:t>Expense</w:t>
      </w:r>
      <w:r>
        <w:rPr>
          <w:rFonts w:ascii="Calibri" w:hAnsi="Calibri" w:cs="Calibri"/>
          <w:b/>
          <w:u w:val="none"/>
          <w:sz w:val="28.4599991"/>
          <w:color w:val="000000"/>
          <w:w w:val="96.1113815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1113815"/>
          <w:noProof w:val="true"/>
        </w:rPr>
        <w:t>Reimbursements</w:t>
      </w:r>
    </w:p>
    <w:p w:rsidR="005A76FB" w:rsidRDefault="005A76FB" w:rsidP="005A76FB">
      <w:pPr>
        <w:spacing w:before="0" w:after="0" w:lineRule="exact" w:line="240"/>
        <w:ind w:firstLine="3602" w:left="565"/>
        <w:rPr/>
      </w:pPr>
    </w:p>
    <w:p w:rsidR="005A76FB" w:rsidRDefault="005A76FB" w:rsidP="005A76FB">
      <w:pPr>
        <w:spacing w:before="0" w:after="0" w:lineRule="exact" w:line="240"/>
        <w:ind w:firstLine="360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reimburse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incurred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04415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41513"/>
          <w:noProof w:val="true"/>
        </w:rPr>
        <w:t>professional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growth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developed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375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37558"/>
          <w:noProof w:val="true"/>
        </w:rPr>
        <w:t>director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Internal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Revenue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1.966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65222"/>
          <w:noProof w:val="true"/>
        </w:rPr>
        <w:t>requirements.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581-022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-1660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I.R.C.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Business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Expenses,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26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1.162-1.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I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TERN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AL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R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EVEN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UE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S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ERVIC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E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BLIC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ATIO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N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463: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T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RAVEL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TERTAIN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EN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T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IFT</w:t>
      </w:r>
      <w:r>
        <w:rPr>
          <w:rFonts w:ascii="Calibri" w:hAnsi="Calibri" w:cs="Calibri"/>
          <w:u w:val="none"/>
          <w:sz w:val="14.4200001"/>
          <w:color w:val="000000"/>
          <w:w w:val="101.724991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AN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D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AR</w:t>
      </w:r>
      <w:r>
        <w:rPr>
          <w:rFonts w:ascii="Calibri" w:hAnsi="Calibri" w:cs="Calibri"/>
          <w:u w:val="none"/>
          <w:sz w:val="18.5"/>
          <w:color w:val="000000"/>
          <w:w w:val="101.72499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XPEN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101.724991"/>
          <w:noProof w:val="true"/>
        </w:rPr>
        <w:t>SES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724991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9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07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590668"/>
          <w:noProof w:val="true"/>
        </w:rPr>
        <w:t>Expense</w:t>
      </w:r>
      <w:r>
        <w:rPr>
          <w:rFonts w:ascii="Calibri" w:hAnsi="Calibri" w:cs="Calibri"/>
          <w:u w:val="none"/>
          <w:sz w:val="24.5"/>
          <w:color w:val="000000"/>
          <w:w w:val="92.5590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590668"/>
          <w:noProof w:val="true"/>
        </w:rPr>
        <w:t>Reimbursements</w:t>
      </w:r>
      <w:r>
        <w:rPr>
          <w:rFonts w:ascii="Calibri" w:hAnsi="Calibri" w:cs="Calibri"/>
          <w:u w:val="none"/>
          <w:sz w:val="24.5"/>
          <w:color w:val="000000"/>
          <w:w w:val="92.5590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590668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590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590668"/>
          <w:noProof w:val="true"/>
        </w:rPr>
        <w:t>DLC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www.leg.state.or.us/ors/338.html" TargetMode="External" />
    <Relationship Id="rId12" Type="http://schemas.openxmlformats.org/officeDocument/2006/relationships/hyperlink" Target="http://arcweb.sos.state.or.us/rules/OARS_500/OAR_581/581_022.html" TargetMode="External" />
    <Relationship Id="rId13" Type="http://schemas.openxmlformats.org/officeDocument/2006/relationships/hyperlink" Target="http://arcweb.sos.state.or.us/rules/OARS_500/OAR_581/581_022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